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Assistant Superintendent for Curriculum and Instruction</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Jeff Craig, Ed.D.</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607.758.4125 (f) 607.758.4109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jcraig@cortlandschools.org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